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center"/>
        <w:rPr>
          <w:rFonts w:hint="eastAsia" w:eastAsia="方正小标宋简体"/>
          <w:b/>
          <w:spacing w:val="20"/>
          <w:sz w:val="36"/>
          <w:szCs w:val="36"/>
        </w:rPr>
      </w:pPr>
      <w:r>
        <w:rPr>
          <w:rFonts w:hint="eastAsia" w:eastAsia="方正小标宋简体"/>
          <w:b/>
          <w:spacing w:val="20"/>
          <w:sz w:val="36"/>
          <w:szCs w:val="36"/>
        </w:rPr>
        <w:t>行政处罚信息公开表</w:t>
      </w:r>
    </w:p>
    <w:tbl>
      <w:tblPr>
        <w:tblStyle w:val="3"/>
        <w:tblW w:w="138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0"/>
        <w:gridCol w:w="1251"/>
        <w:gridCol w:w="1062"/>
        <w:gridCol w:w="1045"/>
        <w:gridCol w:w="2162"/>
        <w:gridCol w:w="1126"/>
        <w:gridCol w:w="2405"/>
        <w:gridCol w:w="1616"/>
        <w:gridCol w:w="1125"/>
        <w:gridCol w:w="1014"/>
        <w:gridCol w:w="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74" w:hRule="atLeast"/>
          <w:jc w:val="center"/>
        </w:trPr>
        <w:tc>
          <w:tcPr>
            <w:tcW w:w="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序号</w:t>
            </w:r>
          </w:p>
        </w:tc>
        <w:tc>
          <w:tcPr>
            <w:tcW w:w="12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行政处罚决定书文号</w:t>
            </w: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案件名称</w:t>
            </w:r>
          </w:p>
        </w:tc>
        <w:tc>
          <w:tcPr>
            <w:tcW w:w="10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违法企业名称或违法自然人姓名</w:t>
            </w:r>
          </w:p>
        </w:tc>
        <w:tc>
          <w:tcPr>
            <w:tcW w:w="21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违法企业组织机构代码</w:t>
            </w: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法定代表人姓名</w:t>
            </w:r>
          </w:p>
        </w:tc>
        <w:tc>
          <w:tcPr>
            <w:tcW w:w="24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主要违法事实</w:t>
            </w:r>
          </w:p>
        </w:tc>
        <w:tc>
          <w:tcPr>
            <w:tcW w:w="16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行政处罚的种类和依据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行政处罚的履行方式</w:t>
            </w: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做出处罚的机关名称</w:t>
            </w:r>
          </w:p>
        </w:tc>
        <w:tc>
          <w:tcPr>
            <w:tcW w:w="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86" w:hRule="atLeast"/>
          <w:jc w:val="center"/>
        </w:trPr>
        <w:tc>
          <w:tcPr>
            <w:tcW w:w="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(鄂咸)食药监药罚〔2018〕1号</w:t>
            </w: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从非法渠道购进黄芪等中药饮片案</w:t>
            </w:r>
          </w:p>
        </w:tc>
        <w:tc>
          <w:tcPr>
            <w:tcW w:w="10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骆传洲中医头痛专科诊所</w:t>
            </w:r>
          </w:p>
        </w:tc>
        <w:tc>
          <w:tcPr>
            <w:tcW w:w="21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92421202MA4A2I1RJ4G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</w:rPr>
              <w:t xml:space="preserve"> </w:t>
            </w: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骆传洲 </w:t>
            </w:r>
          </w:p>
        </w:tc>
        <w:tc>
          <w:tcPr>
            <w:tcW w:w="24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骆传洲中医头痛专科诊所从未取得《药品经营许可证》的个人手中购进的黄芪、黑附片、蝉蜕等中药饮片，货值共计2001.50元，违法所得共计2301.70元。</w:t>
            </w:r>
          </w:p>
        </w:tc>
        <w:tc>
          <w:tcPr>
            <w:tcW w:w="16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违反了《中华人民共和国药品管理法》第三十四条的规定，给予没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收违法销售的药品、违法所得，并处罚款的行政处罚。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自动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履行</w:t>
            </w: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咸宁市食品药品监督管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eastAsia="zh-CN"/>
              </w:rPr>
              <w:t>理局</w:t>
            </w:r>
          </w:p>
        </w:tc>
        <w:tc>
          <w:tcPr>
            <w:tcW w:w="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p/>
    <w:sectPr>
      <w:pgSz w:w="16838" w:h="11906" w:orient="landscape"/>
      <w:pgMar w:top="1803" w:right="1440" w:bottom="669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766F9"/>
    <w:rsid w:val="4177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2018-11-12T08:08:00Z</dcterms:created>
  <dc:creator>❤贝贝❤</dc:creator>
  <cp:lastModifiedBy>❤贝贝❤</cp:lastModifiedBy>
  <dcterms:modified xsi:type="dcterms:W3CDTF">2018-11-12T08:09:41Z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